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CAD98" w14:textId="1031079B" w:rsidR="006C170D" w:rsidRPr="00C94DBE" w:rsidRDefault="006C170D" w:rsidP="006C170D">
      <w:pPr>
        <w:pStyle w:val="a5"/>
        <w:rPr>
          <w:rFonts w:eastAsia="宋体" w:cs="Arial"/>
          <w:lang w:eastAsia="zh-CN"/>
        </w:rPr>
      </w:pPr>
      <w:r w:rsidRPr="00C94DBE">
        <w:rPr>
          <w:rFonts w:cs="Arial"/>
        </w:rPr>
        <w:t>3GPP TSG-RAN WG4 Meeting #</w:t>
      </w:r>
      <w:r w:rsidRPr="00C94DBE">
        <w:rPr>
          <w:rFonts w:eastAsia="宋体" w:cs="Arial"/>
          <w:lang w:eastAsia="zh-CN"/>
        </w:rPr>
        <w:t>9</w:t>
      </w:r>
      <w:r>
        <w:rPr>
          <w:rFonts w:eastAsia="宋体" w:cs="Arial"/>
          <w:lang w:eastAsia="zh-CN"/>
        </w:rPr>
        <w:t>8bis-e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sidR="0082307C">
        <w:rPr>
          <w:rFonts w:eastAsia="宋体" w:cs="Arial"/>
          <w:lang w:eastAsia="zh-CN"/>
        </w:rPr>
        <w:t>105040</w:t>
      </w:r>
      <w:r w:rsidRPr="00C94DBE">
        <w:rPr>
          <w:rFonts w:eastAsia="宋体" w:cs="Arial"/>
          <w:lang w:eastAsia="zh-CN"/>
        </w:rPr>
        <w:t xml:space="preserve">                                     </w:t>
      </w:r>
      <w:r>
        <w:rPr>
          <w:rFonts w:eastAsia="宋体" w:cs="Arial"/>
          <w:lang w:eastAsia="zh-CN"/>
        </w:rPr>
        <w:t xml:space="preserve">                             </w:t>
      </w:r>
    </w:p>
    <w:p w14:paraId="3AEC5DE3" w14:textId="77777777"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12</w:t>
      </w:r>
      <w:r w:rsidRPr="007144F1">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20</w:t>
      </w:r>
      <w:r w:rsidRPr="00F51A98">
        <w:rPr>
          <w:rFonts w:eastAsiaTheme="minorEastAsia" w:cs="Arial" w:hint="eastAsia"/>
          <w:vertAlign w:val="superscript"/>
          <w:lang w:eastAsia="zh-CN"/>
        </w:rPr>
        <w:t>th</w:t>
      </w:r>
      <w:r>
        <w:rPr>
          <w:rFonts w:eastAsiaTheme="minorEastAsia" w:cs="Arial"/>
          <w:lang w:eastAsia="zh-CN"/>
        </w:rPr>
        <w:t xml:space="preserve"> Apr</w:t>
      </w:r>
      <w:r w:rsidRPr="00051CD8">
        <w:rPr>
          <w:rFonts w:cs="Arial"/>
        </w:rPr>
        <w:t>, 20</w:t>
      </w:r>
      <w:r>
        <w:rPr>
          <w:rFonts w:eastAsiaTheme="minorEastAsia" w:cs="Arial" w:hint="eastAsia"/>
          <w:lang w:eastAsia="zh-CN"/>
        </w:rPr>
        <w:t>2</w:t>
      </w:r>
      <w:r>
        <w:rPr>
          <w:rFonts w:eastAsiaTheme="minorEastAsia" w:cs="Arial"/>
          <w:lang w:eastAsia="zh-CN"/>
        </w:rPr>
        <w:t>1</w:t>
      </w:r>
    </w:p>
    <w:p w14:paraId="18DA93C0" w14:textId="77777777" w:rsidR="006C170D" w:rsidRPr="00051CD8" w:rsidRDefault="006C170D" w:rsidP="006C170D">
      <w:pPr>
        <w:pStyle w:val="a5"/>
        <w:rPr>
          <w:rFonts w:eastAsiaTheme="minorEastAsia" w:cs="Arial"/>
          <w:lang w:eastAsia="zh-CN"/>
        </w:rPr>
      </w:pPr>
    </w:p>
    <w:p w14:paraId="1462EEC4"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4B40D6">
        <w:rPr>
          <w:rFonts w:ascii="Arial" w:eastAsia="宋体" w:hAnsi="Arial" w:cs="Arial"/>
          <w:b/>
          <w:noProof/>
          <w:kern w:val="0"/>
          <w:sz w:val="22"/>
          <w:szCs w:val="22"/>
          <w:lang w:val="en-GB"/>
        </w:rPr>
        <w:t xml:space="preserve"> </w:t>
      </w:r>
      <w:r w:rsidR="00584DBB">
        <w:rPr>
          <w:rFonts w:ascii="Arial" w:eastAsia="宋体" w:hAnsi="Arial" w:cs="Arial"/>
          <w:b/>
          <w:noProof/>
          <w:kern w:val="0"/>
          <w:sz w:val="22"/>
          <w:szCs w:val="22"/>
          <w:lang w:val="en-GB"/>
        </w:rPr>
        <w:t>8.13.2</w:t>
      </w:r>
      <w:r w:rsidRPr="003F6833">
        <w:rPr>
          <w:rFonts w:ascii="Arial" w:eastAsia="宋体" w:hAnsi="Arial" w:cs="Arial"/>
          <w:b/>
          <w:noProof/>
          <w:kern w:val="0"/>
          <w:sz w:val="22"/>
          <w:szCs w:val="22"/>
          <w:lang w:val="en-GB" w:eastAsia="en-US"/>
        </w:rPr>
        <w:tab/>
      </w:r>
    </w:p>
    <w:p w14:paraId="326E89A7"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55A3AB33" w14:textId="77777777"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Pr>
          <w:rFonts w:ascii="Arial" w:eastAsia="宋体" w:hAnsi="Arial" w:cs="Arial" w:hint="eastAsia"/>
          <w:b/>
          <w:noProof/>
          <w:kern w:val="0"/>
          <w:sz w:val="22"/>
          <w:lang w:val="en-GB"/>
        </w:rPr>
        <w:t xml:space="preserve"> </w:t>
      </w:r>
      <w:r w:rsidR="00584DBB">
        <w:rPr>
          <w:rFonts w:ascii="Arial" w:eastAsia="宋体" w:hAnsi="Arial" w:cs="Arial"/>
          <w:b/>
          <w:noProof/>
          <w:kern w:val="0"/>
          <w:sz w:val="22"/>
          <w:lang w:val="en-GB"/>
        </w:rPr>
        <w:t xml:space="preserve">Overview on NR </w:t>
      </w:r>
      <w:r w:rsidR="005D625A">
        <w:rPr>
          <w:rFonts w:ascii="Arial" w:eastAsia="宋体" w:hAnsi="Arial" w:cs="Arial"/>
          <w:b/>
          <w:noProof/>
          <w:kern w:val="0"/>
          <w:sz w:val="22"/>
          <w:lang w:val="en-GB"/>
        </w:rPr>
        <w:t xml:space="preserve">Rel-17 </w:t>
      </w:r>
      <w:r w:rsidR="00584DBB">
        <w:rPr>
          <w:rFonts w:ascii="Arial" w:eastAsia="宋体" w:hAnsi="Arial" w:cs="Arial"/>
          <w:b/>
          <w:noProof/>
          <w:kern w:val="0"/>
          <w:sz w:val="22"/>
          <w:lang w:val="en-GB"/>
        </w:rPr>
        <w:t>eIAB</w:t>
      </w:r>
      <w:r w:rsidR="004B40D6">
        <w:rPr>
          <w:rFonts w:ascii="Arial" w:eastAsia="宋体" w:hAnsi="Arial" w:cs="Arial"/>
          <w:b/>
          <w:noProof/>
          <w:kern w:val="0"/>
          <w:sz w:val="22"/>
          <w:lang w:val="en-GB"/>
        </w:rPr>
        <w:t xml:space="preserve"> </w:t>
      </w:r>
      <w:r>
        <w:rPr>
          <w:rFonts w:ascii="Arial" w:eastAsia="宋体" w:hAnsi="Arial" w:cs="Arial"/>
          <w:b/>
          <w:noProof/>
          <w:kern w:val="0"/>
          <w:sz w:val="22"/>
          <w:lang w:val="en-GB"/>
        </w:rPr>
        <w:t xml:space="preserve">    </w:t>
      </w:r>
    </w:p>
    <w:p w14:paraId="02EBB413"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Pr>
          <w:rFonts w:ascii="Arial" w:eastAsia="宋体" w:hAnsi="Arial" w:cs="Arial" w:hint="eastAsia"/>
          <w:b/>
          <w:noProof/>
          <w:kern w:val="0"/>
          <w:sz w:val="22"/>
          <w:szCs w:val="22"/>
          <w:lang w:val="en-GB"/>
        </w:rPr>
        <w:t xml:space="preserve"> </w:t>
      </w:r>
      <w:r>
        <w:rPr>
          <w:rFonts w:ascii="Arial" w:eastAsia="宋体" w:hAnsi="Arial" w:cs="Arial"/>
          <w:b/>
          <w:noProof/>
          <w:kern w:val="0"/>
          <w:sz w:val="22"/>
          <w:szCs w:val="22"/>
          <w:lang w:val="en-GB"/>
        </w:rPr>
        <w:t xml:space="preserve">Discussion </w:t>
      </w:r>
    </w:p>
    <w:p w14:paraId="2767E9A3"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587AD68D" w14:textId="45754E89" w:rsidR="00B3635A" w:rsidRDefault="0082307C">
      <w:r>
        <w:t>R</w:t>
      </w:r>
      <w:r w:rsidR="00584DBB">
        <w:t>-17 NR eIAB WID agreed in RAN#</w:t>
      </w:r>
      <w:r w:rsidR="00D42F90">
        <w:t>86 and the latest update version confirmed in RAN#91e as</w:t>
      </w:r>
      <w:r w:rsidR="002A00FB">
        <w:t xml:space="preserve"> </w:t>
      </w:r>
      <w:r w:rsidR="00D42F90">
        <w:t>[1]. According to latest RAN4 TU allocation [2] RAN4 part will start discussion on below RAN4-led objective</w:t>
      </w:r>
      <w:r w:rsidR="00CE4C49">
        <w:t>s</w:t>
      </w:r>
      <w:r w:rsidR="00D42F90">
        <w:t xml:space="preserve"> since 2021 Q2.  </w:t>
      </w:r>
      <w:r w:rsidR="00B20A3D">
        <w:t xml:space="preserve"> </w:t>
      </w:r>
    </w:p>
    <w:tbl>
      <w:tblPr>
        <w:tblStyle w:val="a6"/>
        <w:tblW w:w="0" w:type="auto"/>
        <w:tblLook w:val="04A0" w:firstRow="1" w:lastRow="0" w:firstColumn="1" w:lastColumn="0" w:noHBand="0" w:noVBand="1"/>
      </w:tblPr>
      <w:tblGrid>
        <w:gridCol w:w="10456"/>
      </w:tblGrid>
      <w:tr w:rsidR="00D42F90" w14:paraId="309E4359" w14:textId="77777777" w:rsidTr="00D42F90">
        <w:tc>
          <w:tcPr>
            <w:tcW w:w="10456" w:type="dxa"/>
          </w:tcPr>
          <w:p w14:paraId="7B85C2E0" w14:textId="77777777" w:rsidR="00D42F90" w:rsidRDefault="00D42F90" w:rsidP="00D42F90">
            <w:pPr>
              <w:pStyle w:val="a7"/>
              <w:spacing w:before="60" w:after="60"/>
              <w:ind w:left="0"/>
              <w:contextualSpacing w:val="0"/>
            </w:pPr>
            <w:r>
              <w:t>RF and RRM requirements [RAN4-led]:</w:t>
            </w:r>
          </w:p>
          <w:p w14:paraId="5591FB8B" w14:textId="77777777" w:rsidR="00D42F90" w:rsidRDefault="00D42F90" w:rsidP="00D42F90">
            <w:pPr>
              <w:pStyle w:val="a7"/>
              <w:numPr>
                <w:ilvl w:val="0"/>
                <w:numId w:val="2"/>
              </w:numPr>
              <w:spacing w:before="60" w:after="60"/>
              <w:contextualSpacing w:val="0"/>
            </w:pPr>
            <w:r>
              <w:rPr>
                <w:lang w:eastAsia="ja-JP"/>
              </w:rPr>
              <w:t>Definition of IAB node RF requirements if needed for any Rel-17 extensions.</w:t>
            </w:r>
          </w:p>
          <w:p w14:paraId="5C6BDA30" w14:textId="77777777" w:rsidR="00D42F90" w:rsidRPr="00D42F90" w:rsidRDefault="00D42F90" w:rsidP="00D42F90">
            <w:pPr>
              <w:pStyle w:val="a7"/>
              <w:numPr>
                <w:ilvl w:val="0"/>
                <w:numId w:val="2"/>
              </w:numPr>
              <w:spacing w:before="60" w:after="60"/>
              <w:contextualSpacing w:val="0"/>
            </w:pPr>
            <w:r>
              <w:t xml:space="preserve">Definition of RRM core requirements </w:t>
            </w:r>
            <w:r>
              <w:rPr>
                <w:lang w:eastAsia="ja-JP"/>
              </w:rPr>
              <w:t>if needed for any Rel-17 extensions.</w:t>
            </w:r>
          </w:p>
        </w:tc>
      </w:tr>
    </w:tbl>
    <w:p w14:paraId="428A73FD" w14:textId="7F722E5F" w:rsidR="004B40D6" w:rsidRDefault="00D42F90" w:rsidP="004B40D6">
      <w:pPr>
        <w:overflowPunct w:val="0"/>
        <w:autoSpaceDE w:val="0"/>
        <w:autoSpaceDN w:val="0"/>
        <w:adjustRightInd w:val="0"/>
        <w:spacing w:after="180"/>
        <w:textAlignment w:val="baseline"/>
      </w:pPr>
      <w:r>
        <w:rPr>
          <w:rFonts w:hint="eastAsia"/>
        </w:rPr>
        <w:t xml:space="preserve">And </w:t>
      </w:r>
      <w:r w:rsidR="00CE4C49">
        <w:t>RAN4 impact would be highly dependent on RAN1-led objectives as follows:</w:t>
      </w:r>
    </w:p>
    <w:tbl>
      <w:tblPr>
        <w:tblStyle w:val="a6"/>
        <w:tblW w:w="0" w:type="auto"/>
        <w:tblLook w:val="04A0" w:firstRow="1" w:lastRow="0" w:firstColumn="1" w:lastColumn="0" w:noHBand="0" w:noVBand="1"/>
      </w:tblPr>
      <w:tblGrid>
        <w:gridCol w:w="10456"/>
      </w:tblGrid>
      <w:tr w:rsidR="00D42F90" w14:paraId="6E49D400" w14:textId="77777777" w:rsidTr="00D42F90">
        <w:tc>
          <w:tcPr>
            <w:tcW w:w="10456" w:type="dxa"/>
          </w:tcPr>
          <w:p w14:paraId="549095C3" w14:textId="77777777" w:rsidR="00D42F90" w:rsidRDefault="00D42F90" w:rsidP="00D42F90">
            <w:pPr>
              <w:spacing w:after="120"/>
              <w:rPr>
                <w:bCs/>
              </w:rPr>
            </w:pPr>
            <w:r>
              <w:rPr>
                <w:bCs/>
              </w:rPr>
              <w:t>Duplexing enhancements [RAN1-led, RAN2, RAN3, RAN4]:</w:t>
            </w:r>
          </w:p>
          <w:p w14:paraId="49CE4669" w14:textId="77777777" w:rsidR="00D42F90" w:rsidRDefault="00D42F90" w:rsidP="00D42F90">
            <w:pPr>
              <w:pStyle w:val="a7"/>
              <w:numPr>
                <w:ilvl w:val="0"/>
                <w:numId w:val="3"/>
              </w:numPr>
              <w:contextualSpacing w:val="0"/>
              <w:rPr>
                <w:lang w:val="en-US"/>
              </w:rPr>
            </w:pPr>
            <w:r>
              <w:t>Specification of enhancements to the resource multiplexing between child and parent links of an IAB node, including:</w:t>
            </w:r>
          </w:p>
          <w:p w14:paraId="09700B8E" w14:textId="77777777" w:rsidR="00D42F90" w:rsidRDefault="00D42F90" w:rsidP="00D42F90">
            <w:pPr>
              <w:pStyle w:val="a7"/>
              <w:numPr>
                <w:ilvl w:val="1"/>
                <w:numId w:val="3"/>
              </w:numPr>
              <w:contextualSpacing w:val="0"/>
            </w:pPr>
            <w:bookmarkStart w:id="0" w:name="_Hlk26193173"/>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2A77FF29" w14:textId="77777777" w:rsidR="00D42F90" w:rsidRDefault="00D42F90" w:rsidP="00D42F90">
            <w:pPr>
              <w:pStyle w:val="a7"/>
              <w:numPr>
                <w:ilvl w:val="1"/>
                <w:numId w:val="3"/>
              </w:numPr>
              <w:contextualSpacing w:val="0"/>
            </w:pPr>
            <w:r>
              <w:t xml:space="preserve">Support for </w:t>
            </w:r>
            <w:r w:rsidRPr="00660873">
              <w:t>dual-</w:t>
            </w:r>
            <w:r>
              <w:t>connectivity scenarios defined by RAN2/RAN3 in the context of topology redundancy for improved robustness and load balancing.</w:t>
            </w:r>
          </w:p>
          <w:bookmarkEnd w:id="0"/>
          <w:p w14:paraId="588480B0" w14:textId="77777777" w:rsidR="00D42F90" w:rsidRPr="00D42F90" w:rsidRDefault="00D42F90" w:rsidP="00D42F90">
            <w:pPr>
              <w:pStyle w:val="a7"/>
              <w:numPr>
                <w:ilvl w:val="0"/>
                <w:numId w:val="3"/>
              </w:numPr>
              <w:contextualSpacing w:val="0"/>
            </w:pPr>
            <w:r w:rsidRPr="00660873">
              <w:t>Specification of IAB-node timing mode(s), extensions for DL/UL power control, and CLI and interference measurements of BH links, as needed, to support simultaneous operation (transmission and/or reception) by IAB-node’s child and parent links.</w:t>
            </w:r>
          </w:p>
        </w:tc>
      </w:tr>
    </w:tbl>
    <w:p w14:paraId="2156EBB4" w14:textId="79C3050B" w:rsidR="00D42F90" w:rsidRPr="002A00FB" w:rsidRDefault="00D42F90" w:rsidP="002A00FB">
      <w:r w:rsidRPr="002A00FB">
        <w:t>As described in WID RAN4 scope on R</w:t>
      </w:r>
      <w:r w:rsidR="00AF7CEB">
        <w:t>el-</w:t>
      </w:r>
      <w:r w:rsidRPr="002A00FB">
        <w:t xml:space="preserve">17 eIAB is rather general and would be highly dependent on outcome of other working group. Hence this contribution is inclined to collect the progress and/or status in other work </w:t>
      </w:r>
      <w:r w:rsidR="002A00FB" w:rsidRPr="002A00FB">
        <w:t>group</w:t>
      </w:r>
      <w:r w:rsidRPr="002A00FB">
        <w:t>(s) which may</w:t>
      </w:r>
      <w:r w:rsidR="005D625A" w:rsidRPr="002A00FB">
        <w:t xml:space="preserve"> have impact on RAN4 aspect</w:t>
      </w:r>
      <w:r w:rsidR="002A00FB">
        <w:t>s</w:t>
      </w:r>
      <w:r w:rsidR="005D625A" w:rsidRPr="002A00FB">
        <w:t xml:space="preserve">. </w:t>
      </w:r>
    </w:p>
    <w:p w14:paraId="1E9D1ADB" w14:textId="77777777" w:rsidR="004B40D6" w:rsidRDefault="004B40D6" w:rsidP="004B40D6">
      <w:pPr>
        <w:pStyle w:val="1"/>
        <w:rPr>
          <w:rFonts w:cs="Arial"/>
          <w:lang w:eastAsia="zh-CN"/>
        </w:rPr>
      </w:pPr>
      <w:r>
        <w:rPr>
          <w:rFonts w:cs="Arial"/>
          <w:lang w:eastAsia="zh-CN"/>
        </w:rPr>
        <w:t xml:space="preserve">Discussion </w:t>
      </w:r>
    </w:p>
    <w:p w14:paraId="08D971F6" w14:textId="6F2B3B77" w:rsidR="00916AB2" w:rsidRPr="00916AB2" w:rsidRDefault="00916AB2" w:rsidP="00916AB2">
      <w:pPr>
        <w:rPr>
          <w:b/>
          <w:lang w:val="en-GB"/>
        </w:rPr>
      </w:pPr>
      <w:r w:rsidRPr="00916AB2">
        <w:rPr>
          <w:rFonts w:hint="eastAsia"/>
          <w:b/>
          <w:lang w:val="en-GB"/>
        </w:rPr>
        <w:t>S</w:t>
      </w:r>
      <w:r w:rsidRPr="00916AB2">
        <w:rPr>
          <w:b/>
          <w:lang w:val="en-GB"/>
        </w:rPr>
        <w:t>imultaneous operation of IAB-node’s child and parent links:</w:t>
      </w:r>
    </w:p>
    <w:p w14:paraId="68952A5B" w14:textId="484A6D9F" w:rsidR="00916AB2" w:rsidRDefault="00916AB2" w:rsidP="00916AB2">
      <w:pPr>
        <w:rPr>
          <w:lang w:val="en-GB"/>
        </w:rPr>
      </w:pPr>
      <w:r>
        <w:rPr>
          <w:rFonts w:hint="eastAsia"/>
          <w:lang w:val="en-GB"/>
        </w:rPr>
        <w:t>I</w:t>
      </w:r>
      <w:r>
        <w:rPr>
          <w:lang w:val="en-GB"/>
        </w:rPr>
        <w:t xml:space="preserve">n legacy discussion the requirement for IAB node is defined per interface, i.e., for IAB-MT and IAB-DU separately. It’s supposed that for </w:t>
      </w:r>
      <w:r w:rsidR="00532EC1">
        <w:rPr>
          <w:lang w:val="en-GB"/>
        </w:rPr>
        <w:t>MT TX/DU TX and MT RX/DU RX there would be no impact on RF core requirement</w:t>
      </w:r>
      <w:r w:rsidR="002A00FB">
        <w:rPr>
          <w:lang w:val="en-GB"/>
        </w:rPr>
        <w:t xml:space="preserve"> itself</w:t>
      </w:r>
      <w:r w:rsidR="00AF7CEB">
        <w:rPr>
          <w:lang w:val="en-GB"/>
        </w:rPr>
        <w:t xml:space="preserve"> if we still follow the logic to define requirement per interface</w:t>
      </w:r>
      <w:r w:rsidR="00532EC1">
        <w:rPr>
          <w:lang w:val="en-GB"/>
        </w:rPr>
        <w:t xml:space="preserve">. But for MT TX/DU RX and MT RX/DU TX, it should be </w:t>
      </w:r>
      <w:r w:rsidR="00A84131">
        <w:rPr>
          <w:lang w:val="en-GB"/>
        </w:rPr>
        <w:t xml:space="preserve">discussed </w:t>
      </w:r>
      <w:r w:rsidR="00532EC1">
        <w:rPr>
          <w:lang w:val="en-GB"/>
        </w:rPr>
        <w:t xml:space="preserve">further whether the IAB node with this </w:t>
      </w:r>
      <w:r w:rsidR="00A84131">
        <w:rPr>
          <w:lang w:val="en-GB"/>
        </w:rPr>
        <w:t>functionality</w:t>
      </w:r>
      <w:r w:rsidR="00532EC1">
        <w:rPr>
          <w:lang w:val="en-GB"/>
        </w:rPr>
        <w:t xml:space="preserve"> the </w:t>
      </w:r>
      <w:r w:rsidR="00CB0314">
        <w:rPr>
          <w:lang w:val="en-GB"/>
        </w:rPr>
        <w:t xml:space="preserve">receiver requirement should be updated with </w:t>
      </w:r>
      <w:r w:rsidR="00A84131">
        <w:rPr>
          <w:lang w:val="en-GB"/>
        </w:rPr>
        <w:t xml:space="preserve">additional </w:t>
      </w:r>
      <w:r w:rsidR="00CB0314">
        <w:rPr>
          <w:lang w:val="en-GB"/>
        </w:rPr>
        <w:t xml:space="preserve">side condition that the simultaneous transmission on the other link which is similar as FDD operation. </w:t>
      </w:r>
    </w:p>
    <w:p w14:paraId="0FE45D88" w14:textId="096648BC" w:rsidR="00CB0314" w:rsidRDefault="00CB0314" w:rsidP="00916AB2">
      <w:pPr>
        <w:rPr>
          <w:lang w:val="en-GB"/>
        </w:rPr>
      </w:pPr>
      <w:r>
        <w:rPr>
          <w:lang w:val="en-GB"/>
        </w:rPr>
        <w:t>Furthermore, all th</w:t>
      </w:r>
      <w:r w:rsidR="00BC0624">
        <w:rPr>
          <w:lang w:val="en-GB"/>
        </w:rPr>
        <w:t>ese simultaneous operation</w:t>
      </w:r>
      <w:r>
        <w:rPr>
          <w:lang w:val="en-GB"/>
        </w:rPr>
        <w:t xml:space="preserve"> conditions should be reviewed for conformance testing aspect regarding the testability and impact on MU/TT due to</w:t>
      </w:r>
      <w:r w:rsidR="00A84131">
        <w:rPr>
          <w:lang w:val="en-GB"/>
        </w:rPr>
        <w:t xml:space="preserve"> update</w:t>
      </w:r>
      <w:r>
        <w:rPr>
          <w:lang w:val="en-GB"/>
        </w:rPr>
        <w:t xml:space="preserve"> on test environment. </w:t>
      </w:r>
    </w:p>
    <w:p w14:paraId="464C574C" w14:textId="13DA36CB" w:rsidR="00A84131" w:rsidRDefault="00466BD5" w:rsidP="00916AB2">
      <w:pPr>
        <w:rPr>
          <w:lang w:val="en-GB"/>
        </w:rPr>
      </w:pPr>
      <w:r w:rsidRPr="00466BD5">
        <w:rPr>
          <w:rFonts w:hint="eastAsia"/>
          <w:b/>
          <w:lang w:val="en-GB"/>
        </w:rPr>
        <w:t>O</w:t>
      </w:r>
      <w:r w:rsidRPr="00466BD5">
        <w:rPr>
          <w:b/>
          <w:lang w:val="en-GB"/>
        </w:rPr>
        <w:t>bservation</w:t>
      </w:r>
      <w:r>
        <w:rPr>
          <w:lang w:val="en-GB"/>
        </w:rPr>
        <w:t xml:space="preserve"> </w:t>
      </w:r>
      <w:r w:rsidRPr="00466BD5">
        <w:rPr>
          <w:b/>
          <w:lang w:val="en-GB"/>
        </w:rPr>
        <w:t>1</w:t>
      </w:r>
      <w:r>
        <w:rPr>
          <w:lang w:val="en-GB"/>
        </w:rPr>
        <w:t xml:space="preserve">: Further study is needed on RAN4 specification impact due to simultaneous operation of IAB-node’s child and parent links. </w:t>
      </w:r>
    </w:p>
    <w:p w14:paraId="2A0A6D0C" w14:textId="77777777" w:rsidR="00466BD5" w:rsidRDefault="00466BD5" w:rsidP="00916AB2">
      <w:pPr>
        <w:rPr>
          <w:lang w:val="en-GB"/>
        </w:rPr>
      </w:pPr>
    </w:p>
    <w:p w14:paraId="6D0636E1" w14:textId="77777777" w:rsidR="00466BD5" w:rsidRDefault="00466BD5" w:rsidP="00916AB2">
      <w:pPr>
        <w:rPr>
          <w:lang w:val="en-GB"/>
        </w:rPr>
      </w:pPr>
    </w:p>
    <w:p w14:paraId="2274478E" w14:textId="77777777" w:rsidR="00466BD5" w:rsidRPr="00916AB2" w:rsidRDefault="00466BD5" w:rsidP="00916AB2">
      <w:pPr>
        <w:rPr>
          <w:lang w:val="en-GB"/>
        </w:rPr>
      </w:pPr>
    </w:p>
    <w:p w14:paraId="0C1BFB75" w14:textId="77777777" w:rsidR="005D625A" w:rsidRDefault="005D625A" w:rsidP="005D625A">
      <w:r w:rsidRPr="00F40DC2">
        <w:rPr>
          <w:rFonts w:hint="eastAsia"/>
          <w:b/>
        </w:rPr>
        <w:lastRenderedPageBreak/>
        <w:t>D</w:t>
      </w:r>
      <w:r w:rsidRPr="00F40DC2">
        <w:rPr>
          <w:b/>
        </w:rPr>
        <w:t>ual connectivity scenario</w:t>
      </w:r>
      <w:r>
        <w:t>:</w:t>
      </w:r>
    </w:p>
    <w:tbl>
      <w:tblPr>
        <w:tblStyle w:val="a6"/>
        <w:tblW w:w="0" w:type="auto"/>
        <w:tblLook w:val="04A0" w:firstRow="1" w:lastRow="0" w:firstColumn="1" w:lastColumn="0" w:noHBand="0" w:noVBand="1"/>
      </w:tblPr>
      <w:tblGrid>
        <w:gridCol w:w="10456"/>
      </w:tblGrid>
      <w:tr w:rsidR="00916AB2" w14:paraId="4B60B362" w14:textId="77777777" w:rsidTr="00916AB2">
        <w:tc>
          <w:tcPr>
            <w:tcW w:w="10456" w:type="dxa"/>
          </w:tcPr>
          <w:p w14:paraId="2E8241D9" w14:textId="6700436D" w:rsidR="00AB11DF" w:rsidRPr="00AB11DF" w:rsidRDefault="00AB11DF" w:rsidP="00916AB2">
            <w:pPr>
              <w:rPr>
                <w:rFonts w:ascii="Times New Roman" w:hAnsi="Times New Roman" w:cs="Times New Roman"/>
                <w:b/>
                <w:bCs/>
                <w:highlight w:val="green"/>
                <w:lang w:eastAsia="x-none"/>
              </w:rPr>
            </w:pPr>
            <w:r w:rsidRPr="00AB11DF">
              <w:rPr>
                <w:rFonts w:ascii="Times New Roman" w:hAnsi="Times New Roman" w:cs="Times New Roman"/>
                <w:b/>
                <w:bCs/>
                <w:highlight w:val="green"/>
                <w:lang w:eastAsia="x-none"/>
              </w:rPr>
              <w:t>Agreement in RAN1</w:t>
            </w:r>
          </w:p>
          <w:p w14:paraId="47D10F2B" w14:textId="5624E26B" w:rsidR="00916AB2" w:rsidRPr="007B327B" w:rsidRDefault="00916AB2" w:rsidP="00916AB2">
            <w:pPr>
              <w:rPr>
                <w:rFonts w:ascii="Times New Roman" w:hAnsi="Times New Roman" w:cs="Times New Roman"/>
              </w:rPr>
            </w:pPr>
            <w:r w:rsidRPr="007B327B">
              <w:rPr>
                <w:rFonts w:ascii="Times New Roman" w:hAnsi="Times New Roman" w:cs="Times New Roman"/>
              </w:rPr>
              <w:t>From a RAN1 perspective, resource multiplexing and coordination is supported for the following DC scenarios in Rel-17.</w:t>
            </w:r>
          </w:p>
          <w:p w14:paraId="3A3FC2E2" w14:textId="77777777" w:rsidR="00916AB2" w:rsidRPr="007B327B" w:rsidRDefault="00916AB2" w:rsidP="00916AB2">
            <w:pPr>
              <w:rPr>
                <w:rFonts w:ascii="Times New Roman" w:hAnsi="Times New Roman" w:cs="Times New Roman"/>
              </w:rPr>
            </w:pPr>
            <w:r w:rsidRPr="007B327B">
              <w:rPr>
                <w:rFonts w:ascii="Times New Roman" w:hAnsi="Times New Roman" w:cs="Times New Roman"/>
              </w:rPr>
              <w:t xml:space="preserve">• Inter-carrier, inter-band </w:t>
            </w:r>
          </w:p>
          <w:p w14:paraId="3B241EE9" w14:textId="77777777" w:rsidR="00916AB2" w:rsidRPr="007B327B" w:rsidRDefault="00916AB2" w:rsidP="00916AB2">
            <w:pPr>
              <w:rPr>
                <w:rFonts w:ascii="Times New Roman" w:hAnsi="Times New Roman" w:cs="Times New Roman"/>
              </w:rPr>
            </w:pPr>
            <w:r w:rsidRPr="007B327B">
              <w:rPr>
                <w:rFonts w:ascii="Times New Roman" w:hAnsi="Times New Roman" w:cs="Times New Roman"/>
              </w:rPr>
              <w:t xml:space="preserve">• Inter-carrier, intra-band is additionally supported at least for FR2 </w:t>
            </w:r>
          </w:p>
          <w:p w14:paraId="73C29D12" w14:textId="77777777" w:rsidR="00916AB2" w:rsidRPr="007B327B" w:rsidRDefault="00916AB2" w:rsidP="00916AB2">
            <w:pPr>
              <w:ind w:leftChars="100" w:left="210"/>
              <w:rPr>
                <w:rFonts w:ascii="Times New Roman" w:hAnsi="Times New Roman" w:cs="Times New Roman"/>
              </w:rPr>
            </w:pPr>
            <w:r w:rsidRPr="007B327B">
              <w:rPr>
                <w:rFonts w:ascii="Times New Roman" w:hAnsi="Times New Roman" w:cs="Times New Roman"/>
              </w:rPr>
              <w:t>o At least to the extent it reuses solutions for supporting Inter-carrier, inter-band</w:t>
            </w:r>
          </w:p>
          <w:p w14:paraId="3F9ED511" w14:textId="74D1E9E0" w:rsidR="00916AB2" w:rsidRPr="00916AB2" w:rsidRDefault="00916AB2" w:rsidP="00916AB2">
            <w:pPr>
              <w:ind w:leftChars="100" w:left="210"/>
            </w:pPr>
            <w:r w:rsidRPr="007B327B">
              <w:rPr>
                <w:rFonts w:ascii="Times New Roman" w:hAnsi="Times New Roman" w:cs="Times New Roman"/>
              </w:rPr>
              <w:t>o FFS: whether specific enhancements for inter-carrier, intra-band DC are introduced in Rel-17</w:t>
            </w:r>
          </w:p>
        </w:tc>
      </w:tr>
    </w:tbl>
    <w:p w14:paraId="78BF0023" w14:textId="07711573" w:rsidR="00916AB2" w:rsidRDefault="00CB0314" w:rsidP="005D625A">
      <w:r>
        <w:rPr>
          <w:rFonts w:hint="eastAsia"/>
        </w:rPr>
        <w:t>I</w:t>
      </w:r>
      <w:r>
        <w:t>n legacy Rel-16 WI there is no inter-band CA/DC requested for IAB-MT in RAN4. And corresponding capability i</w:t>
      </w:r>
      <w:r w:rsidR="007B327B">
        <w:t xml:space="preserve">s still pending. But </w:t>
      </w:r>
      <w:r>
        <w:t>multi-</w:t>
      </w:r>
      <w:r w:rsidR="007B327B">
        <w:t>band operation</w:t>
      </w:r>
      <w:r w:rsidR="00AB11DF">
        <w:t>, of which the BS approach is used,</w:t>
      </w:r>
      <w:r>
        <w:t xml:space="preserve"> has already addressed in R</w:t>
      </w:r>
      <w:r w:rsidR="0082307C">
        <w:t>EL-</w:t>
      </w:r>
      <w:r>
        <w:t>16 IAB spec</w:t>
      </w:r>
      <w:r w:rsidR="007B327B">
        <w:t xml:space="preserve"> in maintenance phase</w:t>
      </w:r>
      <w:r>
        <w:t xml:space="preserve">. It </w:t>
      </w:r>
      <w:r w:rsidR="007B327B">
        <w:t xml:space="preserve">seems this </w:t>
      </w:r>
      <w:r>
        <w:t xml:space="preserve">can be interpreted </w:t>
      </w:r>
      <w:r w:rsidR="00AB11DF">
        <w:t xml:space="preserve">to some extend </w:t>
      </w:r>
      <w:r>
        <w:t xml:space="preserve">as inter-carrier inter-band can be supported implicitly </w:t>
      </w:r>
      <w:r w:rsidR="00A126C4">
        <w:t>in core</w:t>
      </w:r>
      <w:r w:rsidR="00466BD5">
        <w:t xml:space="preserve"> RF</w:t>
      </w:r>
      <w:r w:rsidR="00A126C4">
        <w:t xml:space="preserve"> specification already, </w:t>
      </w:r>
      <w:r>
        <w:t xml:space="preserve">which should be confirmed </w:t>
      </w:r>
      <w:r w:rsidR="00A126C4">
        <w:t>further within</w:t>
      </w:r>
      <w:r>
        <w:t xml:space="preserve"> RAN4. </w:t>
      </w:r>
      <w:r w:rsidR="00466BD5">
        <w:t xml:space="preserve">However, regarding RRM aspect it seems CA and DC are not </w:t>
      </w:r>
      <w:r w:rsidR="00785827">
        <w:t>defined</w:t>
      </w:r>
      <w:r w:rsidR="00466BD5">
        <w:t xml:space="preserve"> yet since the </w:t>
      </w:r>
      <w:r w:rsidR="00785827">
        <w:t>only limited RRM scope agreed to be considered for IAB node</w:t>
      </w:r>
      <w:r w:rsidR="00A42676">
        <w:t xml:space="preserve"> for Rel-16</w:t>
      </w:r>
      <w:r w:rsidR="00785827">
        <w:t xml:space="preserve">.  </w:t>
      </w:r>
    </w:p>
    <w:p w14:paraId="0D979A6F" w14:textId="52434767" w:rsidR="00CB0314" w:rsidRDefault="00CB0314" w:rsidP="005D625A">
      <w:r>
        <w:t>For inter-carrier, intra-band case</w:t>
      </w:r>
      <w:r w:rsidR="00A126C4">
        <w:t>, even if corresponding mechanism is still under discussion in RAN1,</w:t>
      </w:r>
      <w:r>
        <w:t xml:space="preserve"> it is supposed the story </w:t>
      </w:r>
      <w:r w:rsidR="00A126C4">
        <w:t xml:space="preserve">in RAN4 </w:t>
      </w:r>
      <w:r>
        <w:t xml:space="preserve">would be similar to inter-carrier inter-band DC scenario. </w:t>
      </w:r>
    </w:p>
    <w:p w14:paraId="5B73F32A" w14:textId="1C3D6102" w:rsidR="00785827" w:rsidRDefault="00466BD5" w:rsidP="00466BD5">
      <w:pPr>
        <w:rPr>
          <w:lang w:val="en-GB"/>
        </w:rPr>
      </w:pPr>
      <w:r w:rsidRPr="00466BD5">
        <w:rPr>
          <w:rFonts w:hint="eastAsia"/>
          <w:b/>
          <w:lang w:val="en-GB"/>
        </w:rPr>
        <w:t>O</w:t>
      </w:r>
      <w:r w:rsidRPr="00466BD5">
        <w:rPr>
          <w:b/>
          <w:lang w:val="en-GB"/>
        </w:rPr>
        <w:t>bservation</w:t>
      </w:r>
      <w:r>
        <w:rPr>
          <w:lang w:val="en-GB"/>
        </w:rPr>
        <w:t xml:space="preserve"> </w:t>
      </w:r>
      <w:r w:rsidR="00785827">
        <w:rPr>
          <w:b/>
          <w:lang w:val="en-GB"/>
        </w:rPr>
        <w:t>2</w:t>
      </w:r>
      <w:r>
        <w:rPr>
          <w:lang w:val="en-GB"/>
        </w:rPr>
        <w:t xml:space="preserve">: Further clarification is needed on whether existing RAN4 </w:t>
      </w:r>
      <w:r w:rsidR="00785827">
        <w:rPr>
          <w:lang w:val="en-GB"/>
        </w:rPr>
        <w:t xml:space="preserve">IAB </w:t>
      </w:r>
      <w:r>
        <w:rPr>
          <w:lang w:val="en-GB"/>
        </w:rPr>
        <w:t xml:space="preserve">RF </w:t>
      </w:r>
      <w:r w:rsidR="00785827">
        <w:rPr>
          <w:lang w:val="en-GB"/>
        </w:rPr>
        <w:t>requirement</w:t>
      </w:r>
      <w:r>
        <w:rPr>
          <w:lang w:val="en-GB"/>
        </w:rPr>
        <w:t xml:space="preserve"> </w:t>
      </w:r>
      <w:r w:rsidR="00A42676">
        <w:rPr>
          <w:lang w:val="en-GB"/>
        </w:rPr>
        <w:t>have already</w:t>
      </w:r>
      <w:r>
        <w:rPr>
          <w:lang w:val="en-GB"/>
        </w:rPr>
        <w:t xml:space="preserve"> accommodated for</w:t>
      </w:r>
      <w:r w:rsidR="00785827">
        <w:rPr>
          <w:lang w:val="en-GB"/>
        </w:rPr>
        <w:t xml:space="preserve"> additional DC scenario to be agreed in other working group.</w:t>
      </w:r>
    </w:p>
    <w:p w14:paraId="29561618" w14:textId="43F968A2" w:rsidR="00785827" w:rsidRDefault="00785827" w:rsidP="00785827">
      <w:pPr>
        <w:rPr>
          <w:lang w:val="en-GB"/>
        </w:rPr>
      </w:pPr>
      <w:r w:rsidRPr="00466BD5">
        <w:rPr>
          <w:rFonts w:hint="eastAsia"/>
          <w:b/>
          <w:lang w:val="en-GB"/>
        </w:rPr>
        <w:t>O</w:t>
      </w:r>
      <w:r w:rsidRPr="00466BD5">
        <w:rPr>
          <w:b/>
          <w:lang w:val="en-GB"/>
        </w:rPr>
        <w:t>bservation</w:t>
      </w:r>
      <w:r>
        <w:rPr>
          <w:lang w:val="en-GB"/>
        </w:rPr>
        <w:t xml:space="preserve"> </w:t>
      </w:r>
      <w:r>
        <w:rPr>
          <w:b/>
          <w:lang w:val="en-GB"/>
        </w:rPr>
        <w:t>3</w:t>
      </w:r>
      <w:r>
        <w:rPr>
          <w:lang w:val="en-GB"/>
        </w:rPr>
        <w:t>: Further study is needed on whether RAN4 RRM requirement for IAB should be extended to cover additional DC scenario to be agreed in other working group.</w:t>
      </w:r>
    </w:p>
    <w:p w14:paraId="0C0C42B5" w14:textId="77777777" w:rsidR="00CB0314" w:rsidRDefault="00CB0314" w:rsidP="005D625A">
      <w:pPr>
        <w:rPr>
          <w:lang w:val="en-GB"/>
        </w:rPr>
      </w:pPr>
    </w:p>
    <w:p w14:paraId="558ECEFC" w14:textId="77777777" w:rsidR="009C7B6D" w:rsidRPr="00466BD5" w:rsidRDefault="009C7B6D" w:rsidP="005D625A">
      <w:pPr>
        <w:rPr>
          <w:lang w:val="en-GB"/>
        </w:rPr>
      </w:pPr>
    </w:p>
    <w:p w14:paraId="3B94129C" w14:textId="0842C9A7" w:rsidR="005D625A" w:rsidRDefault="00916AB2" w:rsidP="005D625A">
      <w:pPr>
        <w:rPr>
          <w:b/>
        </w:rPr>
      </w:pPr>
      <w:r w:rsidRPr="00AE2902">
        <w:rPr>
          <w:rFonts w:hint="eastAsia"/>
          <w:b/>
        </w:rPr>
        <w:t>I</w:t>
      </w:r>
      <w:r w:rsidRPr="00AE2902">
        <w:rPr>
          <w:b/>
        </w:rPr>
        <w:t>AB-node timing mode(s)</w:t>
      </w:r>
    </w:p>
    <w:tbl>
      <w:tblPr>
        <w:tblStyle w:val="a6"/>
        <w:tblW w:w="0" w:type="auto"/>
        <w:tblLook w:val="04A0" w:firstRow="1" w:lastRow="0" w:firstColumn="1" w:lastColumn="0" w:noHBand="0" w:noVBand="1"/>
      </w:tblPr>
      <w:tblGrid>
        <w:gridCol w:w="10456"/>
      </w:tblGrid>
      <w:tr w:rsidR="00AE2902" w14:paraId="76EAB57E" w14:textId="77777777" w:rsidTr="00AE2902">
        <w:tc>
          <w:tcPr>
            <w:tcW w:w="10456" w:type="dxa"/>
          </w:tcPr>
          <w:p w14:paraId="55B59EFA" w14:textId="367C858F" w:rsidR="00AE2902" w:rsidRPr="007B327B" w:rsidRDefault="00AE2902" w:rsidP="00AE2902">
            <w:pPr>
              <w:rPr>
                <w:rFonts w:ascii="Times New Roman" w:hAnsi="Times New Roman" w:cs="Times New Roman"/>
                <w:b/>
                <w:bCs/>
                <w:highlight w:val="green"/>
                <w:lang w:eastAsia="x-none"/>
              </w:rPr>
            </w:pPr>
            <w:r w:rsidRPr="007B327B">
              <w:rPr>
                <w:rFonts w:ascii="Times New Roman" w:hAnsi="Times New Roman" w:cs="Times New Roman"/>
                <w:b/>
                <w:bCs/>
                <w:highlight w:val="green"/>
                <w:lang w:eastAsia="x-none"/>
              </w:rPr>
              <w:t>Agreement</w:t>
            </w:r>
            <w:r w:rsidR="00AB11DF">
              <w:rPr>
                <w:rFonts w:ascii="Times New Roman" w:hAnsi="Times New Roman" w:cs="Times New Roman"/>
                <w:b/>
                <w:bCs/>
                <w:highlight w:val="green"/>
                <w:lang w:eastAsia="x-none"/>
              </w:rPr>
              <w:t xml:space="preserve"> in RAN1</w:t>
            </w:r>
          </w:p>
          <w:p w14:paraId="38BA157D" w14:textId="22655B73" w:rsidR="00AE2902" w:rsidRPr="007B327B" w:rsidRDefault="00AE2902" w:rsidP="00AE2902">
            <w:pPr>
              <w:rPr>
                <w:rFonts w:ascii="Times New Roman" w:hAnsi="Times New Roman" w:cs="Times New Roman"/>
                <w:lang w:eastAsia="x-none"/>
              </w:rPr>
            </w:pPr>
            <w:r w:rsidRPr="007B327B">
              <w:rPr>
                <w:rFonts w:ascii="Times New Roman" w:hAnsi="Times New Roman" w:cs="Times New Roman"/>
                <w:lang w:eastAsia="x-none"/>
              </w:rPr>
              <w:t>Case 7 timing is supported with symbol level alignment without explicit support for slot level alignment</w:t>
            </w:r>
          </w:p>
          <w:p w14:paraId="55D72B15" w14:textId="1F36E53E" w:rsidR="00AE2902" w:rsidRPr="007B327B" w:rsidRDefault="00AE2902" w:rsidP="00AE2902">
            <w:pPr>
              <w:rPr>
                <w:rFonts w:ascii="Times New Roman" w:hAnsi="Times New Roman" w:cs="Times New Roman"/>
                <w:szCs w:val="20"/>
              </w:rPr>
            </w:pPr>
            <w:r w:rsidRPr="007B327B">
              <w:rPr>
                <w:rStyle w:val="ac"/>
                <w:rFonts w:ascii="Times New Roman" w:hAnsi="Times New Roman" w:cs="Times New Roman"/>
                <w:szCs w:val="20"/>
                <w:highlight w:val="green"/>
                <w:lang w:eastAsia="x-none"/>
              </w:rPr>
              <w:t>Agre</w:t>
            </w:r>
            <w:r w:rsidRPr="00AB11DF">
              <w:rPr>
                <w:rStyle w:val="ac"/>
                <w:rFonts w:ascii="Times New Roman" w:hAnsi="Times New Roman" w:cs="Times New Roman"/>
                <w:szCs w:val="20"/>
                <w:highlight w:val="green"/>
                <w:lang w:eastAsia="x-none"/>
              </w:rPr>
              <w:t>ement</w:t>
            </w:r>
            <w:r w:rsidR="00AB11DF" w:rsidRPr="00AB11DF">
              <w:rPr>
                <w:rStyle w:val="ac"/>
                <w:rFonts w:ascii="Times New Roman" w:hAnsi="Times New Roman" w:cs="Times New Roman"/>
                <w:szCs w:val="20"/>
                <w:highlight w:val="green"/>
                <w:lang w:eastAsia="x-none"/>
              </w:rPr>
              <w:t xml:space="preserve"> in RAN1</w:t>
            </w:r>
          </w:p>
          <w:p w14:paraId="3A9CBA31" w14:textId="77777777" w:rsidR="00AE2902" w:rsidRPr="007B327B" w:rsidRDefault="00AE2902" w:rsidP="00AE2902">
            <w:pPr>
              <w:rPr>
                <w:rFonts w:ascii="Times New Roman" w:hAnsi="Times New Roman" w:cs="Times New Roman"/>
                <w:szCs w:val="20"/>
              </w:rPr>
            </w:pPr>
            <w:r w:rsidRPr="007B327B">
              <w:rPr>
                <w:rFonts w:ascii="Times New Roman" w:hAnsi="Times New Roman" w:cs="Times New Roman"/>
                <w:szCs w:val="20"/>
              </w:rPr>
              <w:t>Switching between Case 1, Case 6, and Case 7 timing is supported.</w:t>
            </w:r>
          </w:p>
          <w:p w14:paraId="299FC36B" w14:textId="77777777" w:rsidR="00AE2902" w:rsidRPr="007B327B" w:rsidRDefault="00AE2902" w:rsidP="00AE2902">
            <w:pPr>
              <w:widowControl/>
              <w:numPr>
                <w:ilvl w:val="0"/>
                <w:numId w:val="7"/>
              </w:numPr>
              <w:jc w:val="left"/>
              <w:rPr>
                <w:rFonts w:ascii="Times New Roman" w:hAnsi="Times New Roman" w:cs="Times New Roman"/>
                <w:szCs w:val="20"/>
              </w:rPr>
            </w:pPr>
            <w:r w:rsidRPr="007B327B">
              <w:rPr>
                <w:rFonts w:ascii="Times New Roman" w:hAnsi="Times New Roman" w:cs="Times New Roman"/>
                <w:szCs w:val="20"/>
              </w:rPr>
              <w:t>FFS whether Case 6 and Case 7 timing shall be restricted to certain resources, e.g. excluding resources used for access or TDM backhaul</w:t>
            </w:r>
          </w:p>
          <w:p w14:paraId="71189CA3" w14:textId="77777777" w:rsidR="00AE2902" w:rsidRPr="007B327B" w:rsidRDefault="00AE2902" w:rsidP="00AE2902">
            <w:pPr>
              <w:widowControl/>
              <w:numPr>
                <w:ilvl w:val="0"/>
                <w:numId w:val="7"/>
              </w:numPr>
              <w:jc w:val="left"/>
              <w:rPr>
                <w:rFonts w:ascii="Times New Roman" w:hAnsi="Times New Roman" w:cs="Times New Roman"/>
                <w:szCs w:val="20"/>
              </w:rPr>
            </w:pPr>
            <w:r w:rsidRPr="007B327B">
              <w:rPr>
                <w:rFonts w:ascii="Times New Roman" w:hAnsi="Times New Roman" w:cs="Times New Roman"/>
                <w:szCs w:val="20"/>
              </w:rPr>
              <w:t>FFS details on switching including the switching conditions</w:t>
            </w:r>
          </w:p>
          <w:p w14:paraId="583DFEF7" w14:textId="77777777" w:rsidR="00AE2902" w:rsidRPr="007B327B" w:rsidRDefault="00AE2902" w:rsidP="00AE2902">
            <w:pPr>
              <w:widowControl/>
              <w:numPr>
                <w:ilvl w:val="0"/>
                <w:numId w:val="7"/>
              </w:numPr>
              <w:jc w:val="left"/>
              <w:rPr>
                <w:rFonts w:ascii="Times New Roman" w:hAnsi="Times New Roman" w:cs="Times New Roman"/>
                <w:szCs w:val="20"/>
              </w:rPr>
            </w:pPr>
            <w:r w:rsidRPr="007B327B">
              <w:rPr>
                <w:rFonts w:ascii="Times New Roman" w:hAnsi="Times New Roman" w:cs="Times New Roman"/>
                <w:szCs w:val="20"/>
              </w:rPr>
              <w:t>FFS relationship between switching timing modes with the usage/indication of different resource multiplexing modes</w:t>
            </w:r>
          </w:p>
          <w:p w14:paraId="2740AAF1" w14:textId="1238A6D8" w:rsidR="00AE2902" w:rsidRPr="00AE2902" w:rsidRDefault="00AE2902" w:rsidP="005D625A">
            <w:pPr>
              <w:widowControl/>
              <w:numPr>
                <w:ilvl w:val="0"/>
                <w:numId w:val="7"/>
              </w:numPr>
              <w:jc w:val="left"/>
              <w:rPr>
                <w:rFonts w:cs="Times"/>
                <w:szCs w:val="20"/>
              </w:rPr>
            </w:pPr>
            <w:r w:rsidRPr="007B327B">
              <w:rPr>
                <w:rFonts w:ascii="Times New Roman" w:hAnsi="Times New Roman" w:cs="Times New Roman"/>
                <w:szCs w:val="20"/>
              </w:rPr>
              <w:t>FFS whether Rel-16 OTA synchronization shall be enhanced to support switching timing modes</w:t>
            </w:r>
          </w:p>
        </w:tc>
      </w:tr>
    </w:tbl>
    <w:p w14:paraId="29DAA1B6" w14:textId="2C2A45B3" w:rsidR="00AE2902" w:rsidRPr="00032537" w:rsidRDefault="00032537" w:rsidP="005D625A">
      <w:r w:rsidRPr="00032537">
        <w:rPr>
          <w:rFonts w:hint="eastAsia"/>
        </w:rPr>
        <w:t>T</w:t>
      </w:r>
      <w:r w:rsidRPr="00032537">
        <w:t xml:space="preserve">he definition on each timing </w:t>
      </w:r>
      <w:r w:rsidR="00466BD5">
        <w:t xml:space="preserve">model </w:t>
      </w:r>
      <w:r w:rsidRPr="00032537">
        <w:t>case is stated in TR38.874 as below:</w:t>
      </w:r>
    </w:p>
    <w:tbl>
      <w:tblPr>
        <w:tblStyle w:val="a6"/>
        <w:tblW w:w="0" w:type="auto"/>
        <w:tblLook w:val="04A0" w:firstRow="1" w:lastRow="0" w:firstColumn="1" w:lastColumn="0" w:noHBand="0" w:noVBand="1"/>
      </w:tblPr>
      <w:tblGrid>
        <w:gridCol w:w="10456"/>
      </w:tblGrid>
      <w:tr w:rsidR="00032537" w14:paraId="513CCDA5" w14:textId="77777777" w:rsidTr="00032537">
        <w:tc>
          <w:tcPr>
            <w:tcW w:w="10456" w:type="dxa"/>
          </w:tcPr>
          <w:p w14:paraId="525762B8" w14:textId="77777777" w:rsidR="00032537" w:rsidRPr="007B327B" w:rsidRDefault="00032537" w:rsidP="00032537">
            <w:pPr>
              <w:pStyle w:val="B1"/>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Case #1: DL transmission timing alignment across IAB-nodes and IAB-donors</w:t>
            </w:r>
            <w:r w:rsidRPr="007B327B">
              <w:rPr>
                <w:rFonts w:eastAsia="Malgun Gothic"/>
                <w:sz w:val="21"/>
                <w:szCs w:val="21"/>
                <w:lang w:eastAsia="ko-KR"/>
              </w:rPr>
              <w:t>:</w:t>
            </w:r>
          </w:p>
          <w:p w14:paraId="7D72FC44" w14:textId="77777777" w:rsidR="00032537" w:rsidRPr="007B327B" w:rsidRDefault="00032537" w:rsidP="00032537">
            <w:pPr>
              <w:pStyle w:val="B2"/>
              <w:jc w:val="both"/>
              <w:rPr>
                <w:rFonts w:eastAsia="MS Mincho"/>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rFonts w:eastAsia="MS Mincho"/>
                <w:sz w:val="21"/>
                <w:szCs w:val="21"/>
              </w:rPr>
              <w:t>If DL TX and UL RX are not well aligned at the parent node, additional information about the alignment is needed for the child node to properly set its DL TX timing for OTA based timing &amp; synchronization</w:t>
            </w:r>
            <w:r w:rsidRPr="007B327B">
              <w:rPr>
                <w:rFonts w:eastAsia="Malgun Gothic"/>
                <w:sz w:val="21"/>
                <w:szCs w:val="21"/>
                <w:lang w:eastAsia="ko-KR"/>
              </w:rPr>
              <w:t>.</w:t>
            </w:r>
          </w:p>
          <w:p w14:paraId="3F44AB39" w14:textId="77777777" w:rsidR="00032537" w:rsidRPr="007B327B" w:rsidRDefault="00032537" w:rsidP="00032537">
            <w:pPr>
              <w:pStyle w:val="B1"/>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Case #6 (Case#1 DL transmission timing + Case #2 UL transmission timing):</w:t>
            </w:r>
          </w:p>
          <w:p w14:paraId="4869808C" w14:textId="77777777" w:rsidR="00032537" w:rsidRPr="007B327B" w:rsidRDefault="00032537" w:rsidP="00032537">
            <w:pPr>
              <w:pStyle w:val="B2"/>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The DL transmission timing for all IAB-nodes is aligned with the parent IAB-node or donor DL timing</w:t>
            </w:r>
            <w:r w:rsidRPr="007B327B">
              <w:rPr>
                <w:rFonts w:eastAsia="Malgun Gothic"/>
                <w:sz w:val="21"/>
                <w:szCs w:val="21"/>
                <w:lang w:eastAsia="ko-KR"/>
              </w:rPr>
              <w:t>;</w:t>
            </w:r>
          </w:p>
          <w:p w14:paraId="127568B5" w14:textId="77777777" w:rsidR="00032537" w:rsidRPr="007B327B" w:rsidRDefault="00032537" w:rsidP="00032537">
            <w:pPr>
              <w:pStyle w:val="B2"/>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The UL transmission timing of an IAB-node can be aligned with the IAB-node's DL transmission timing</w:t>
            </w:r>
            <w:r w:rsidRPr="007B327B">
              <w:rPr>
                <w:rFonts w:eastAsia="Malgun Gothic"/>
                <w:sz w:val="21"/>
                <w:szCs w:val="21"/>
                <w:lang w:eastAsia="ko-KR"/>
              </w:rPr>
              <w:t>.</w:t>
            </w:r>
          </w:p>
          <w:p w14:paraId="3D3EA62B" w14:textId="77777777" w:rsidR="00032537" w:rsidRPr="007B327B" w:rsidRDefault="00032537" w:rsidP="00032537">
            <w:pPr>
              <w:pStyle w:val="B1"/>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Case #7 (Case#1 DL transmission timing + Case #3 UL reception timing):</w:t>
            </w:r>
          </w:p>
          <w:p w14:paraId="2779A53A" w14:textId="77777777" w:rsidR="00032537" w:rsidRPr="007B327B" w:rsidRDefault="00032537" w:rsidP="00032537">
            <w:pPr>
              <w:pStyle w:val="B2"/>
              <w:jc w:val="both"/>
              <w:rPr>
                <w:sz w:val="21"/>
                <w:szCs w:val="21"/>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The DL transmission timing for all IAB-nodes is aligned with the parent IAB-node or donor DL timing</w:t>
            </w:r>
            <w:r w:rsidRPr="007B327B">
              <w:rPr>
                <w:rFonts w:eastAsia="Malgun Gothic"/>
                <w:sz w:val="21"/>
                <w:szCs w:val="21"/>
                <w:lang w:eastAsia="ko-KR"/>
              </w:rPr>
              <w:t>;</w:t>
            </w:r>
          </w:p>
          <w:p w14:paraId="00C4613D" w14:textId="77777777" w:rsidR="00032537" w:rsidRPr="007B327B" w:rsidRDefault="00032537" w:rsidP="00032537">
            <w:pPr>
              <w:pStyle w:val="B2"/>
              <w:jc w:val="both"/>
              <w:rPr>
                <w:rFonts w:eastAsia="Malgun Gothic"/>
                <w:sz w:val="21"/>
                <w:szCs w:val="21"/>
                <w:lang w:eastAsia="ko-KR"/>
              </w:rPr>
            </w:pPr>
            <w:r w:rsidRPr="007B327B">
              <w:rPr>
                <w:rFonts w:eastAsia="Malgun Gothic"/>
                <w:sz w:val="21"/>
                <w:szCs w:val="21"/>
                <w:lang w:eastAsia="ko-KR"/>
              </w:rPr>
              <w:t>-</w:t>
            </w:r>
            <w:r w:rsidRPr="007B327B">
              <w:rPr>
                <w:rFonts w:eastAsia="Malgun Gothic"/>
                <w:sz w:val="21"/>
                <w:szCs w:val="21"/>
                <w:lang w:eastAsia="ko-KR"/>
              </w:rPr>
              <w:tab/>
            </w:r>
            <w:r w:rsidRPr="007B327B">
              <w:rPr>
                <w:sz w:val="21"/>
                <w:szCs w:val="21"/>
              </w:rPr>
              <w:t>The UL reception timing of an IAB-node can be aligned with the IAB-node's DL reception timing</w:t>
            </w:r>
            <w:r w:rsidRPr="007B327B">
              <w:rPr>
                <w:rFonts w:eastAsia="Malgun Gothic"/>
                <w:sz w:val="21"/>
                <w:szCs w:val="21"/>
                <w:lang w:eastAsia="ko-KR"/>
              </w:rPr>
              <w:t>;</w:t>
            </w:r>
          </w:p>
          <w:p w14:paraId="4283B17D" w14:textId="25809ABE" w:rsidR="00032537" w:rsidRPr="00032537" w:rsidRDefault="00032537" w:rsidP="00032537">
            <w:pPr>
              <w:pStyle w:val="B2"/>
              <w:jc w:val="both"/>
            </w:pPr>
            <w:r w:rsidRPr="007B327B">
              <w:rPr>
                <w:rFonts w:eastAsia="Malgun Gothic"/>
                <w:iCs/>
                <w:color w:val="0D0D0D"/>
                <w:sz w:val="21"/>
                <w:szCs w:val="21"/>
                <w:lang w:eastAsia="ko-KR"/>
              </w:rPr>
              <w:t>-</w:t>
            </w:r>
            <w:r w:rsidRPr="007B327B">
              <w:rPr>
                <w:rFonts w:eastAsia="Malgun Gothic"/>
                <w:iCs/>
                <w:color w:val="0D0D0D"/>
                <w:sz w:val="21"/>
                <w:szCs w:val="21"/>
                <w:lang w:eastAsia="ko-KR"/>
              </w:rPr>
              <w:tab/>
            </w:r>
            <w:r w:rsidRPr="007B327B">
              <w:rPr>
                <w:rFonts w:eastAsia="MS Mincho"/>
                <w:iCs/>
                <w:color w:val="0D0D0D"/>
                <w:sz w:val="21"/>
                <w:szCs w:val="21"/>
              </w:rPr>
              <w:t>If DL TX and UL RX are not well aligned at the parent node, additional information about the alignment is needed for the child node to properly set its DL TX timing for OTA based timing &amp; synchronization</w:t>
            </w:r>
            <w:r w:rsidRPr="007B327B">
              <w:rPr>
                <w:rFonts w:eastAsia="Malgun Gothic"/>
                <w:iCs/>
                <w:color w:val="0D0D0D"/>
                <w:sz w:val="21"/>
                <w:szCs w:val="21"/>
                <w:lang w:eastAsia="ko-KR"/>
              </w:rPr>
              <w:t>.</w:t>
            </w:r>
          </w:p>
        </w:tc>
      </w:tr>
    </w:tbl>
    <w:p w14:paraId="494F3BE0" w14:textId="55F326F6" w:rsidR="00032537" w:rsidRDefault="003B54F0" w:rsidP="003B54F0">
      <w:r w:rsidRPr="0014018E">
        <w:t>According to current discussion in RAN1, i</w:t>
      </w:r>
      <w:r w:rsidRPr="0014018E">
        <w:rPr>
          <w:rFonts w:hint="eastAsia"/>
        </w:rPr>
        <w:t>t</w:t>
      </w:r>
      <w:r w:rsidRPr="0014018E">
        <w:t xml:space="preserve"> seems that for </w:t>
      </w:r>
      <w:r w:rsidR="00032537" w:rsidRPr="0014018E">
        <w:t xml:space="preserve">Case 1 </w:t>
      </w:r>
      <w:r w:rsidRPr="0014018E">
        <w:t xml:space="preserve">RAN4 have already studied the scheme based on RAN1 </w:t>
      </w:r>
      <w:r w:rsidRPr="0014018E">
        <w:lastRenderedPageBreak/>
        <w:t>conclusion and corresponding cell phase synchronizati</w:t>
      </w:r>
      <w:r w:rsidR="00A42676">
        <w:t>on accuracy defined for IAB-DU in Rel-16</w:t>
      </w:r>
      <w:r w:rsidRPr="0014018E">
        <w:t>. For case 6, UL timing of IAB-MT can be configured by parent IAB or donor gNB as IAB-MT timing related requirements have been specified in RRM as well in Rel-16. In case 7, additional request is on reception part on top of case1, which is not clear what and how to be verified. It’s supposed that if no further enhancement introduced in RAN1 there is no need to defined additional requirement</w:t>
      </w:r>
      <w:r w:rsidR="00A42676">
        <w:t xml:space="preserve"> for each case individually</w:t>
      </w:r>
      <w:r w:rsidRPr="0014018E">
        <w:t>.</w:t>
      </w:r>
      <w:r w:rsidR="0014018E">
        <w:t xml:space="preserve"> However, there are still many points for FFS</w:t>
      </w:r>
      <w:r w:rsidR="00A42676">
        <w:t xml:space="preserve"> regarding </w:t>
      </w:r>
      <w:r w:rsidR="00A42676" w:rsidRPr="00A42676">
        <w:t>s</w:t>
      </w:r>
      <w:r w:rsidR="00A42676" w:rsidRPr="00A42676">
        <w:t>witching between Case 1, Case 6, and Case 7</w:t>
      </w:r>
      <w:r w:rsidR="0014018E">
        <w:t xml:space="preserve"> in RAN1. And the RAN4 will study further depending on RAN1 subsequent progress. </w:t>
      </w:r>
    </w:p>
    <w:p w14:paraId="32855663" w14:textId="0ACBA6A7" w:rsidR="0014018E" w:rsidRPr="0014018E" w:rsidRDefault="0014018E" w:rsidP="003B54F0">
      <w:r w:rsidRPr="0014018E">
        <w:rPr>
          <w:b/>
        </w:rPr>
        <w:t>Observation 4</w:t>
      </w:r>
      <w:r>
        <w:t>: Regarding the timing enhancement RAN4 study m</w:t>
      </w:r>
      <w:r w:rsidR="0032419F">
        <w:t>ay be needed and dependent</w:t>
      </w:r>
      <w:r>
        <w:t xml:space="preserve"> on RAN1</w:t>
      </w:r>
      <w:r w:rsidR="0032419F">
        <w:t xml:space="preserve"> </w:t>
      </w:r>
      <w:r>
        <w:t xml:space="preserve">outcome.  </w:t>
      </w:r>
    </w:p>
    <w:p w14:paraId="053EAF7D" w14:textId="77777777" w:rsidR="00916AB2" w:rsidRDefault="00916AB2" w:rsidP="005D625A"/>
    <w:p w14:paraId="62A789A3" w14:textId="77777777" w:rsidR="009C7B6D" w:rsidRDefault="009C7B6D" w:rsidP="005D625A"/>
    <w:p w14:paraId="50DEFB24" w14:textId="68E61570" w:rsidR="00916AB2" w:rsidRDefault="00916AB2" w:rsidP="005D625A">
      <w:pPr>
        <w:rPr>
          <w:b/>
        </w:rPr>
      </w:pPr>
      <w:r w:rsidRPr="00AE2902">
        <w:rPr>
          <w:b/>
        </w:rPr>
        <w:t xml:space="preserve">DL power control </w:t>
      </w:r>
    </w:p>
    <w:tbl>
      <w:tblPr>
        <w:tblStyle w:val="a6"/>
        <w:tblW w:w="0" w:type="auto"/>
        <w:tblLook w:val="04A0" w:firstRow="1" w:lastRow="0" w:firstColumn="1" w:lastColumn="0" w:noHBand="0" w:noVBand="1"/>
      </w:tblPr>
      <w:tblGrid>
        <w:gridCol w:w="10456"/>
      </w:tblGrid>
      <w:tr w:rsidR="00AE2902" w14:paraId="6CF7FCF5" w14:textId="77777777" w:rsidTr="00AE2902">
        <w:tc>
          <w:tcPr>
            <w:tcW w:w="10456" w:type="dxa"/>
          </w:tcPr>
          <w:p w14:paraId="00B0471B" w14:textId="77777777" w:rsidR="00AE2902" w:rsidRPr="002B6471" w:rsidRDefault="00AE2902" w:rsidP="00AE2902">
            <w:pPr>
              <w:rPr>
                <w:rFonts w:eastAsia="Calibri" w:cs="Times"/>
              </w:rPr>
            </w:pPr>
            <w:r w:rsidRPr="002B6471">
              <w:rPr>
                <w:rFonts w:eastAsia="Calibri" w:cs="Times"/>
              </w:rPr>
              <w:t>Support an IAB-node indicating information to assist with the DL power control of its parent-node towards the IAB-node without mandating an expected behavior at the parent node.</w:t>
            </w:r>
          </w:p>
          <w:p w14:paraId="05A49348" w14:textId="77777777" w:rsidR="00AE2902" w:rsidRPr="002B6471" w:rsidRDefault="00AE2902" w:rsidP="00AE2902">
            <w:pPr>
              <w:pStyle w:val="a7"/>
              <w:numPr>
                <w:ilvl w:val="0"/>
                <w:numId w:val="6"/>
              </w:numPr>
              <w:spacing w:after="0"/>
              <w:textAlignment w:val="baseline"/>
              <w:rPr>
                <w:rFonts w:eastAsia="Calibri" w:cs="Times"/>
              </w:rPr>
            </w:pPr>
            <w:r w:rsidRPr="002B6471">
              <w:rPr>
                <w:rFonts w:eastAsia="Calibri" w:cs="Times"/>
              </w:rPr>
              <w:t>Note: At least the assistance information is for supporting the simultaneous operation within the IAB-node to avoid power imbalance</w:t>
            </w:r>
          </w:p>
          <w:p w14:paraId="15B2D4AD" w14:textId="77777777" w:rsidR="00AE2902" w:rsidRPr="002B6471" w:rsidRDefault="00AE2902" w:rsidP="00AE2902">
            <w:pPr>
              <w:pStyle w:val="a7"/>
              <w:numPr>
                <w:ilvl w:val="0"/>
                <w:numId w:val="6"/>
              </w:numPr>
              <w:spacing w:after="0"/>
              <w:textAlignment w:val="baseline"/>
              <w:rPr>
                <w:rFonts w:eastAsia="Calibri" w:cs="Times"/>
              </w:rPr>
            </w:pPr>
            <w:r w:rsidRPr="002B6471">
              <w:rPr>
                <w:rFonts w:eastAsia="Calibri" w:cs="Times"/>
              </w:rPr>
              <w:t>FFS: type of assistance information (e.g., desired received power, power adjustment, preferred CSI-RS resource)</w:t>
            </w:r>
          </w:p>
          <w:p w14:paraId="0895B392" w14:textId="77777777" w:rsidR="00AE2902" w:rsidRPr="002B6471" w:rsidRDefault="00AE2902" w:rsidP="00AE2902">
            <w:pPr>
              <w:pStyle w:val="a7"/>
              <w:numPr>
                <w:ilvl w:val="0"/>
                <w:numId w:val="6"/>
              </w:numPr>
              <w:spacing w:after="0"/>
              <w:textAlignment w:val="baseline"/>
              <w:rPr>
                <w:rFonts w:eastAsia="Calibri" w:cs="Times"/>
              </w:rPr>
            </w:pPr>
            <w:r w:rsidRPr="002B6471">
              <w:rPr>
                <w:rFonts w:eastAsia="Calibri" w:cs="Times"/>
              </w:rPr>
              <w:t>FFS: whether this information is provided to the parent-node, the CU, or both.</w:t>
            </w:r>
          </w:p>
          <w:p w14:paraId="72169D84" w14:textId="77777777" w:rsidR="00AE2902" w:rsidRPr="002B6471" w:rsidRDefault="00AE2902" w:rsidP="00AE2902">
            <w:pPr>
              <w:pStyle w:val="a7"/>
              <w:numPr>
                <w:ilvl w:val="0"/>
                <w:numId w:val="6"/>
              </w:numPr>
              <w:spacing w:after="0"/>
              <w:textAlignment w:val="baseline"/>
              <w:rPr>
                <w:rFonts w:eastAsia="Calibri" w:cs="Times"/>
              </w:rPr>
            </w:pPr>
            <w:r w:rsidRPr="002B6471">
              <w:rPr>
                <w:rFonts w:eastAsia="Calibri" w:cs="Times"/>
              </w:rPr>
              <w:t>FFS: applicability of the assistance information (e.g. relation to beams or multiplexing modes)</w:t>
            </w:r>
          </w:p>
          <w:p w14:paraId="6BF9E5F6" w14:textId="282BD090" w:rsidR="00AE2902" w:rsidRPr="00AE2902" w:rsidRDefault="00AE2902" w:rsidP="005D625A">
            <w:pPr>
              <w:pStyle w:val="a7"/>
              <w:numPr>
                <w:ilvl w:val="0"/>
                <w:numId w:val="6"/>
              </w:numPr>
              <w:spacing w:after="0"/>
              <w:textAlignment w:val="baseline"/>
              <w:rPr>
                <w:rFonts w:eastAsia="Calibri" w:cs="Times"/>
              </w:rPr>
            </w:pPr>
            <w:r w:rsidRPr="002B6471">
              <w:rPr>
                <w:rFonts w:eastAsia="Calibri" w:cs="Times"/>
              </w:rPr>
              <w:t>FFS: the channel carrying this assistance information</w:t>
            </w:r>
          </w:p>
        </w:tc>
      </w:tr>
    </w:tbl>
    <w:p w14:paraId="6E771163" w14:textId="3CEE4D5F" w:rsidR="00032537" w:rsidRDefault="0014018E" w:rsidP="0014018E">
      <w:r w:rsidRPr="0014018E">
        <w:t xml:space="preserve">According to current RAN1 agreement </w:t>
      </w:r>
      <w:r w:rsidR="00032537" w:rsidRPr="0014018E">
        <w:t xml:space="preserve">DL power control </w:t>
      </w:r>
      <w:r w:rsidRPr="0014018E">
        <w:t xml:space="preserve">is for IAB’s </w:t>
      </w:r>
      <w:r w:rsidR="00032537" w:rsidRPr="0014018E">
        <w:t xml:space="preserve">parent-node hence no impact on IAB </w:t>
      </w:r>
      <w:r>
        <w:t>RF requirement.</w:t>
      </w:r>
    </w:p>
    <w:p w14:paraId="19287858" w14:textId="6809A86A" w:rsidR="00AE2902" w:rsidRPr="009C7B6D" w:rsidRDefault="0014018E" w:rsidP="005D625A">
      <w:r w:rsidRPr="0014018E">
        <w:rPr>
          <w:b/>
        </w:rPr>
        <w:t>Observation 5</w:t>
      </w:r>
      <w:r>
        <w:t xml:space="preserve">: No IAB RF requirement impact due to DL power control enhancement within Rel-17 eIAB WI. </w:t>
      </w:r>
    </w:p>
    <w:p w14:paraId="6C878677" w14:textId="77777777" w:rsidR="00032537" w:rsidRDefault="00032537" w:rsidP="005D625A">
      <w:pPr>
        <w:rPr>
          <w:b/>
        </w:rPr>
      </w:pPr>
    </w:p>
    <w:p w14:paraId="5058283A" w14:textId="77777777" w:rsidR="009C7B6D" w:rsidRPr="00AE2902" w:rsidRDefault="009C7B6D" w:rsidP="005D625A">
      <w:pPr>
        <w:rPr>
          <w:b/>
        </w:rPr>
      </w:pPr>
    </w:p>
    <w:p w14:paraId="5DD15C07" w14:textId="2D5DCC1D" w:rsidR="00916AB2" w:rsidRDefault="00916AB2" w:rsidP="005D625A">
      <w:pPr>
        <w:rPr>
          <w:b/>
        </w:rPr>
      </w:pPr>
      <w:r w:rsidRPr="00AE2902">
        <w:rPr>
          <w:b/>
        </w:rPr>
        <w:t xml:space="preserve">UL power control </w:t>
      </w:r>
    </w:p>
    <w:tbl>
      <w:tblPr>
        <w:tblStyle w:val="a6"/>
        <w:tblW w:w="0" w:type="auto"/>
        <w:tblLook w:val="04A0" w:firstRow="1" w:lastRow="0" w:firstColumn="1" w:lastColumn="0" w:noHBand="0" w:noVBand="1"/>
      </w:tblPr>
      <w:tblGrid>
        <w:gridCol w:w="10456"/>
      </w:tblGrid>
      <w:tr w:rsidR="00AE2902" w14:paraId="3052A967" w14:textId="77777777" w:rsidTr="00AE2902">
        <w:tc>
          <w:tcPr>
            <w:tcW w:w="10456" w:type="dxa"/>
          </w:tcPr>
          <w:p w14:paraId="1B538843" w14:textId="77777777" w:rsidR="00AE2902" w:rsidRPr="002B6471" w:rsidRDefault="00AE2902" w:rsidP="00AE2902">
            <w:pPr>
              <w:rPr>
                <w:rFonts w:eastAsia="Calibri" w:cs="Times"/>
              </w:rPr>
            </w:pPr>
            <w:r w:rsidRPr="002B6471">
              <w:rPr>
                <w:rFonts w:eastAsia="Calibri" w:cs="Times"/>
              </w:rPr>
              <w:t>RAN1 to further study whether the legacy UL power control mechanism (including PHR) is sufficient for an IAB-node operating in an enhanced multiplexing mode.</w:t>
            </w:r>
          </w:p>
          <w:p w14:paraId="4BEF245C" w14:textId="7E2D45C5" w:rsidR="00AE2902" w:rsidRPr="00AE2902" w:rsidRDefault="00AE2902" w:rsidP="005D625A">
            <w:pPr>
              <w:pStyle w:val="a7"/>
              <w:numPr>
                <w:ilvl w:val="0"/>
                <w:numId w:val="6"/>
              </w:numPr>
              <w:spacing w:after="0"/>
              <w:textAlignment w:val="baseline"/>
              <w:rPr>
                <w:rFonts w:eastAsia="MS PGothic" w:cs="Times"/>
              </w:rPr>
            </w:pPr>
            <w:r w:rsidRPr="002B6471">
              <w:rPr>
                <w:rFonts w:eastAsia="Calibri" w:cs="Times"/>
              </w:rPr>
              <w:t>FFS: if not (i.e., the legacy mechanism is not sufficient), support an IAB-node indicating information to assist with its UL power control.</w:t>
            </w:r>
          </w:p>
        </w:tc>
      </w:tr>
    </w:tbl>
    <w:p w14:paraId="041D19A0" w14:textId="77777777" w:rsidR="0014018E" w:rsidRDefault="00032537" w:rsidP="0014018E">
      <w:r w:rsidRPr="0014018E">
        <w:t>UL power control of IAB-MT has been specified fo</w:t>
      </w:r>
      <w:r w:rsidR="008B49D2" w:rsidRPr="0014018E">
        <w:t>r local area IAB-MT</w:t>
      </w:r>
      <w:r w:rsidR="0014018E">
        <w:t xml:space="preserve"> in Rel-16 WI</w:t>
      </w:r>
      <w:r w:rsidR="008B49D2" w:rsidRPr="0014018E">
        <w:t>. If new functionality to be involved in RAN1</w:t>
      </w:r>
      <w:r w:rsidR="0014018E">
        <w:t xml:space="preserve"> in Rel-17 WI</w:t>
      </w:r>
      <w:r w:rsidR="008B49D2" w:rsidRPr="0014018E">
        <w:t>, RAN4 may study further regarding corresponding impact on RF requirement.</w:t>
      </w:r>
    </w:p>
    <w:p w14:paraId="6444A2AA" w14:textId="3CBB8D80" w:rsidR="00032537" w:rsidRPr="0014018E" w:rsidRDefault="0014018E" w:rsidP="0014018E">
      <w:pPr>
        <w:rPr>
          <w:b/>
        </w:rPr>
      </w:pPr>
      <w:r w:rsidRPr="0014018E">
        <w:rPr>
          <w:b/>
        </w:rPr>
        <w:t xml:space="preserve">Observation 6: </w:t>
      </w:r>
      <w:r>
        <w:t xml:space="preserve">Regarding UL power control RAN4 study may be needed </w:t>
      </w:r>
      <w:r w:rsidR="0032419F">
        <w:t>and dependent</w:t>
      </w:r>
      <w:r>
        <w:t xml:space="preserve"> on RAN1</w:t>
      </w:r>
      <w:r w:rsidR="0032419F">
        <w:t xml:space="preserve"> </w:t>
      </w:r>
      <w:r>
        <w:t>outcome.</w:t>
      </w:r>
    </w:p>
    <w:p w14:paraId="43BF9DB1" w14:textId="77777777" w:rsidR="00032537" w:rsidRDefault="00032537" w:rsidP="005D625A">
      <w:pPr>
        <w:rPr>
          <w:b/>
        </w:rPr>
      </w:pPr>
    </w:p>
    <w:p w14:paraId="610C1621" w14:textId="77777777" w:rsidR="009C7B6D" w:rsidRDefault="009C7B6D" w:rsidP="005D625A">
      <w:pPr>
        <w:rPr>
          <w:b/>
        </w:rPr>
      </w:pPr>
    </w:p>
    <w:p w14:paraId="58097092" w14:textId="264FBA72" w:rsidR="005D625A" w:rsidRDefault="00916AB2" w:rsidP="005D625A">
      <w:pPr>
        <w:rPr>
          <w:b/>
        </w:rPr>
      </w:pPr>
      <w:r w:rsidRPr="00AE2902">
        <w:rPr>
          <w:b/>
        </w:rPr>
        <w:t>CLI and interference measurements of BH links</w:t>
      </w:r>
    </w:p>
    <w:tbl>
      <w:tblPr>
        <w:tblStyle w:val="a6"/>
        <w:tblW w:w="0" w:type="auto"/>
        <w:tblLook w:val="04A0" w:firstRow="1" w:lastRow="0" w:firstColumn="1" w:lastColumn="0" w:noHBand="0" w:noVBand="1"/>
      </w:tblPr>
      <w:tblGrid>
        <w:gridCol w:w="10456"/>
      </w:tblGrid>
      <w:tr w:rsidR="00AE2902" w14:paraId="0697784C" w14:textId="77777777" w:rsidTr="00AE2902">
        <w:tc>
          <w:tcPr>
            <w:tcW w:w="10456" w:type="dxa"/>
          </w:tcPr>
          <w:p w14:paraId="08E5FD8B" w14:textId="77777777" w:rsidR="00AE2902" w:rsidRDefault="00AE2902" w:rsidP="00AE2902">
            <w:r>
              <w:t xml:space="preserve">Interference mitigation: no RAN1 specification impact for intra-IAB node interference (self-interference) management </w:t>
            </w:r>
          </w:p>
          <w:p w14:paraId="77F17EB9" w14:textId="7A2604E1" w:rsidR="00AE2902" w:rsidRPr="00AE2902" w:rsidRDefault="00AE2902" w:rsidP="005D625A">
            <w:r>
              <w:t xml:space="preserve">DU-to-DU CLI measurement/report: FFS on many options </w:t>
            </w:r>
          </w:p>
        </w:tc>
      </w:tr>
    </w:tbl>
    <w:p w14:paraId="5BB05F29" w14:textId="3A54A195" w:rsidR="00AE2902" w:rsidRPr="0014018E" w:rsidRDefault="0014018E" w:rsidP="0014018E">
      <w:pPr>
        <w:rPr>
          <w:b/>
        </w:rPr>
      </w:pPr>
      <w:r>
        <w:rPr>
          <w:b/>
        </w:rPr>
        <w:t>Observation 7:</w:t>
      </w:r>
      <w:r w:rsidRPr="0014018E">
        <w:t xml:space="preserve"> </w:t>
      </w:r>
      <w:r w:rsidR="008B49D2" w:rsidRPr="0014018E">
        <w:rPr>
          <w:rFonts w:hint="eastAsia"/>
        </w:rPr>
        <w:t>N</w:t>
      </w:r>
      <w:r w:rsidR="008B49D2" w:rsidRPr="0014018E">
        <w:t>o impact due to self-interference of intra-IAB node in RAN1</w:t>
      </w:r>
    </w:p>
    <w:p w14:paraId="619FC713" w14:textId="48EBA041" w:rsidR="005D625A" w:rsidRPr="0014018E" w:rsidRDefault="0014018E" w:rsidP="006C170D">
      <w:r>
        <w:rPr>
          <w:b/>
        </w:rPr>
        <w:t>Observation 8</w:t>
      </w:r>
      <w:r w:rsidRPr="0014018E">
        <w:t>:</w:t>
      </w:r>
      <w:r>
        <w:t xml:space="preserve"> </w:t>
      </w:r>
      <w:r w:rsidR="008B49D2" w:rsidRPr="0014018E">
        <w:t xml:space="preserve">Regarding the DU-to-DU CLI measurement/report, it is not clear regarding RAN4 impact according to current RAN1 status. </w:t>
      </w:r>
    </w:p>
    <w:p w14:paraId="49A5077B" w14:textId="77777777" w:rsidR="00D42F90" w:rsidRDefault="00D42F90" w:rsidP="00D42F90">
      <w:pPr>
        <w:pStyle w:val="1"/>
        <w:rPr>
          <w:rFonts w:cs="Arial"/>
          <w:lang w:eastAsia="zh-CN"/>
        </w:rPr>
      </w:pPr>
      <w:r>
        <w:rPr>
          <w:rFonts w:cs="Arial"/>
          <w:lang w:eastAsia="zh-CN"/>
        </w:rPr>
        <w:t xml:space="preserve">Reference </w:t>
      </w:r>
    </w:p>
    <w:p w14:paraId="5B1CE2E2" w14:textId="505E9919" w:rsidR="006C170D" w:rsidRDefault="00D42F90">
      <w:r>
        <w:t>[1] RP-210758</w:t>
      </w:r>
      <w:r w:rsidR="007B327B">
        <w:t xml:space="preserve">, </w:t>
      </w:r>
      <w:r w:rsidR="0082307C">
        <w:t>Revised WID for NR_IAB_enh</w:t>
      </w:r>
      <w:r w:rsidR="0082307C" w:rsidRPr="001A3EAE">
        <w:t>; TSG RAN Meeting #</w:t>
      </w:r>
      <w:r w:rsidR="0082307C">
        <w:t>91</w:t>
      </w:r>
    </w:p>
    <w:p w14:paraId="7E38D2D6" w14:textId="37027C97" w:rsidR="00D42F90" w:rsidRDefault="00D42F90">
      <w:r>
        <w:t>[2] RP-202856</w:t>
      </w:r>
      <w:r w:rsidR="007B327B">
        <w:t>,</w:t>
      </w:r>
      <w:r w:rsidR="0082307C">
        <w:t xml:space="preserve"> RAN4 TU allocation for RAN#90</w:t>
      </w:r>
    </w:p>
    <w:p w14:paraId="1601A4B0" w14:textId="36E4F584" w:rsidR="007B327B" w:rsidRPr="00BA4F5D" w:rsidRDefault="007B327B" w:rsidP="007B327B">
      <w:r>
        <w:t>[3]</w:t>
      </w:r>
      <w:r w:rsidRPr="007B327B">
        <w:t xml:space="preserve"> </w:t>
      </w:r>
      <w:hyperlink r:id="rId7" w:history="1">
        <w:r w:rsidRPr="007B327B">
          <w:t>R4-1916149</w:t>
        </w:r>
      </w:hyperlink>
      <w:r>
        <w:t>,</w:t>
      </w:r>
      <w:r w:rsidRPr="00BA4F5D">
        <w:t xml:space="preserve"> WF for IAB DC/CA requirements</w:t>
      </w:r>
    </w:p>
    <w:p w14:paraId="774C4184" w14:textId="46BCFE28" w:rsidR="007B327B" w:rsidRPr="00CC57CA" w:rsidRDefault="00CC57CA">
      <w:r>
        <w:rPr>
          <w:rFonts w:hint="eastAsia"/>
          <w:lang w:val="en-GB"/>
        </w:rPr>
        <w:t>[</w:t>
      </w:r>
      <w:r>
        <w:rPr>
          <w:lang w:val="en-GB"/>
        </w:rPr>
        <w:t>4] R4-2012563</w:t>
      </w:r>
      <w:bookmarkStart w:id="1" w:name="_GoBack"/>
      <w:bookmarkEnd w:id="1"/>
      <w:r w:rsidRPr="00CC57CA">
        <w:t xml:space="preserve">, </w:t>
      </w:r>
      <w:r w:rsidRPr="00CC57CA">
        <w:t>LS to RAN2 on IAB-MT feature list</w:t>
      </w:r>
    </w:p>
    <w:sectPr w:rsidR="007B327B" w:rsidRPr="00CC57CA"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D45BE" w14:textId="77777777" w:rsidR="00691380" w:rsidRDefault="00691380" w:rsidP="006C170D">
      <w:r>
        <w:separator/>
      </w:r>
    </w:p>
  </w:endnote>
  <w:endnote w:type="continuationSeparator" w:id="0">
    <w:p w14:paraId="4C5C3D21" w14:textId="77777777" w:rsidR="00691380" w:rsidRDefault="00691380"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49052" w14:textId="77777777" w:rsidR="00691380" w:rsidRDefault="00691380" w:rsidP="006C170D">
      <w:r>
        <w:separator/>
      </w:r>
    </w:p>
  </w:footnote>
  <w:footnote w:type="continuationSeparator" w:id="0">
    <w:p w14:paraId="560DB929" w14:textId="77777777" w:rsidR="00691380" w:rsidRDefault="00691380"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B90474"/>
    <w:multiLevelType w:val="hybridMultilevel"/>
    <w:tmpl w:val="EDFEC3A0"/>
    <w:lvl w:ilvl="0" w:tplc="21B81AC4">
      <w:start w:val="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091615"/>
    <w:multiLevelType w:val="hybridMultilevel"/>
    <w:tmpl w:val="F7FACF6E"/>
    <w:lvl w:ilvl="0" w:tplc="5ADAB5E0">
      <w:start w:val="3"/>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5F14F0"/>
    <w:multiLevelType w:val="hybridMultilevel"/>
    <w:tmpl w:val="1046A8E8"/>
    <w:lvl w:ilvl="0" w:tplc="5B842AC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1"/>
  </w:num>
  <w:num w:numId="5">
    <w:abstractNumId w:val="6"/>
  </w:num>
  <w:num w:numId="6">
    <w:abstractNumId w:val="0"/>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5DF2"/>
    <w:rsid w:val="00032537"/>
    <w:rsid w:val="000F4059"/>
    <w:rsid w:val="0014018E"/>
    <w:rsid w:val="001C2F89"/>
    <w:rsid w:val="002A00FB"/>
    <w:rsid w:val="0032419F"/>
    <w:rsid w:val="003B54F0"/>
    <w:rsid w:val="00466BD5"/>
    <w:rsid w:val="00491C96"/>
    <w:rsid w:val="004B40D6"/>
    <w:rsid w:val="004E4598"/>
    <w:rsid w:val="00532EC1"/>
    <w:rsid w:val="00584DBB"/>
    <w:rsid w:val="005D625A"/>
    <w:rsid w:val="00691380"/>
    <w:rsid w:val="006C170D"/>
    <w:rsid w:val="00760929"/>
    <w:rsid w:val="00785827"/>
    <w:rsid w:val="007B327B"/>
    <w:rsid w:val="0082307C"/>
    <w:rsid w:val="00874B2F"/>
    <w:rsid w:val="0088215A"/>
    <w:rsid w:val="008B49D2"/>
    <w:rsid w:val="00916AB2"/>
    <w:rsid w:val="009C7B6D"/>
    <w:rsid w:val="00A126C4"/>
    <w:rsid w:val="00A42676"/>
    <w:rsid w:val="00A46680"/>
    <w:rsid w:val="00A84131"/>
    <w:rsid w:val="00AB11DF"/>
    <w:rsid w:val="00AE2902"/>
    <w:rsid w:val="00AF0EC9"/>
    <w:rsid w:val="00AF7CEB"/>
    <w:rsid w:val="00B20A3D"/>
    <w:rsid w:val="00B3635A"/>
    <w:rsid w:val="00BC0624"/>
    <w:rsid w:val="00C87B9E"/>
    <w:rsid w:val="00CB0314"/>
    <w:rsid w:val="00CC57CA"/>
    <w:rsid w:val="00CE4C49"/>
    <w:rsid w:val="00D42F90"/>
    <w:rsid w:val="00E77CDD"/>
    <w:rsid w:val="00F720E7"/>
    <w:rsid w:val="00FD1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F9E45"/>
  <w15:chartTrackingRefBased/>
  <w15:docId w15:val="{A99B5BF3-03B4-4372-9FA4-8E48ABF4E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ilvl w:val="7"/>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iPriority w:val="99"/>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uiPriority w:val="99"/>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rsid w:val="00D42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1,中等深浅网格 1 - 着色 21,목록 단락,リスト段落,¥¡¡¡¡ì¬º¥¹¥È¶ÎÂä,ÁÐ³ö¶ÎÂä,列表段落1,—ño’i—Ž,¥ê¥¹¥È¶ÎÂä,1st level - Bullet List Paragraph,Lettre d'introduction,Paragrafo elenco,Normal bullet 2,Bullet list,목록단락,列表段落11,列表段落,清單段落1"/>
    <w:basedOn w:val="a"/>
    <w:link w:val="Char2"/>
    <w:uiPriority w:val="34"/>
    <w:qFormat/>
    <w:rsid w:val="00D42F90"/>
    <w:pPr>
      <w:widowControl/>
      <w:spacing w:after="180"/>
      <w:ind w:left="720"/>
      <w:contextualSpacing/>
      <w:jc w:val="left"/>
    </w:pPr>
    <w:rPr>
      <w:rFonts w:ascii="Times New Roman" w:eastAsia="MS Mincho" w:hAnsi="Times New Roman" w:cs="Times New Roman"/>
      <w:kern w:val="0"/>
      <w:sz w:val="20"/>
      <w:szCs w:val="20"/>
      <w:lang w:val="en-GB" w:eastAsia="en-US"/>
    </w:rPr>
  </w:style>
  <w:style w:type="character" w:customStyle="1" w:styleId="Char2">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목록단락 Char"/>
    <w:link w:val="a7"/>
    <w:uiPriority w:val="34"/>
    <w:qFormat/>
    <w:locked/>
    <w:rsid w:val="00D42F90"/>
    <w:rPr>
      <w:rFonts w:ascii="Times New Roman" w:eastAsia="MS Mincho" w:hAnsi="Times New Roman" w:cs="Times New Roman"/>
      <w:kern w:val="0"/>
      <w:sz w:val="20"/>
      <w:szCs w:val="20"/>
      <w:lang w:val="en-GB" w:eastAsia="en-US"/>
    </w:rPr>
  </w:style>
  <w:style w:type="paragraph" w:customStyle="1" w:styleId="B1">
    <w:name w:val="B1"/>
    <w:basedOn w:val="a8"/>
    <w:link w:val="B1Char1"/>
    <w:rsid w:val="005D625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B2">
    <w:name w:val="B2"/>
    <w:basedOn w:val="2"/>
    <w:link w:val="B2Char"/>
    <w:rsid w:val="005D625A"/>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styleId="a9">
    <w:name w:val="annotation reference"/>
    <w:rsid w:val="005D625A"/>
    <w:rPr>
      <w:rFonts w:eastAsia="Times New Roman"/>
      <w:noProof w:val="0"/>
      <w:kern w:val="2"/>
      <w:sz w:val="16"/>
      <w:lang w:val="en-GB"/>
    </w:rPr>
  </w:style>
  <w:style w:type="paragraph" w:styleId="aa">
    <w:name w:val="annotation text"/>
    <w:basedOn w:val="a"/>
    <w:link w:val="Char3"/>
    <w:rsid w:val="005D625A"/>
    <w:pPr>
      <w:widowControl/>
      <w:jc w:val="left"/>
    </w:pPr>
    <w:rPr>
      <w:rFonts w:ascii="Times New Roman" w:eastAsia="MS Gothic" w:hAnsi="Times New Roman" w:cs="Times New Roman"/>
      <w:kern w:val="0"/>
      <w:sz w:val="20"/>
      <w:szCs w:val="20"/>
      <w:lang w:val="en-GB" w:eastAsia="ja-JP"/>
    </w:rPr>
  </w:style>
  <w:style w:type="character" w:customStyle="1" w:styleId="Char3">
    <w:name w:val="批注文字 Char"/>
    <w:basedOn w:val="a0"/>
    <w:link w:val="aa"/>
    <w:rsid w:val="005D625A"/>
    <w:rPr>
      <w:rFonts w:ascii="Times New Roman" w:eastAsia="MS Gothic" w:hAnsi="Times New Roman" w:cs="Times New Roman"/>
      <w:kern w:val="0"/>
      <w:sz w:val="20"/>
      <w:szCs w:val="20"/>
      <w:lang w:val="en-GB" w:eastAsia="ja-JP"/>
    </w:rPr>
  </w:style>
  <w:style w:type="character" w:customStyle="1" w:styleId="B1Char1">
    <w:name w:val="B1 Char1"/>
    <w:link w:val="B1"/>
    <w:locked/>
    <w:rsid w:val="005D625A"/>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D625A"/>
    <w:rPr>
      <w:rFonts w:ascii="Times New Roman" w:eastAsia="Times New Roman" w:hAnsi="Times New Roman" w:cs="Times New Roman"/>
      <w:kern w:val="0"/>
      <w:sz w:val="20"/>
      <w:szCs w:val="20"/>
      <w:lang w:val="en-GB" w:eastAsia="en-GB"/>
    </w:rPr>
  </w:style>
  <w:style w:type="paragraph" w:styleId="a8">
    <w:name w:val="List"/>
    <w:basedOn w:val="a"/>
    <w:uiPriority w:val="99"/>
    <w:semiHidden/>
    <w:unhideWhenUsed/>
    <w:rsid w:val="005D625A"/>
    <w:pPr>
      <w:ind w:left="200" w:hangingChars="200" w:hanging="200"/>
      <w:contextualSpacing/>
    </w:pPr>
  </w:style>
  <w:style w:type="paragraph" w:styleId="2">
    <w:name w:val="List 2"/>
    <w:basedOn w:val="a"/>
    <w:uiPriority w:val="99"/>
    <w:semiHidden/>
    <w:unhideWhenUsed/>
    <w:rsid w:val="005D625A"/>
    <w:pPr>
      <w:ind w:leftChars="200" w:left="100" w:hangingChars="200" w:hanging="200"/>
      <w:contextualSpacing/>
    </w:pPr>
  </w:style>
  <w:style w:type="paragraph" w:styleId="ab">
    <w:name w:val="Balloon Text"/>
    <w:basedOn w:val="a"/>
    <w:link w:val="Char4"/>
    <w:uiPriority w:val="99"/>
    <w:semiHidden/>
    <w:unhideWhenUsed/>
    <w:rsid w:val="005D625A"/>
    <w:rPr>
      <w:sz w:val="18"/>
      <w:szCs w:val="18"/>
    </w:rPr>
  </w:style>
  <w:style w:type="character" w:customStyle="1" w:styleId="Char4">
    <w:name w:val="批注框文本 Char"/>
    <w:basedOn w:val="a0"/>
    <w:link w:val="ab"/>
    <w:uiPriority w:val="99"/>
    <w:semiHidden/>
    <w:rsid w:val="005D625A"/>
    <w:rPr>
      <w:sz w:val="18"/>
      <w:szCs w:val="18"/>
    </w:rPr>
  </w:style>
  <w:style w:type="character" w:styleId="ac">
    <w:name w:val="Strong"/>
    <w:uiPriority w:val="22"/>
    <w:qFormat/>
    <w:rsid w:val="00AE29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RAN4\TSGRAN4_93\Docs\R4-191614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3</Pages>
  <Words>1380</Words>
  <Characters>7872</Characters>
  <Application>Microsoft Office Word</Application>
  <DocSecurity>0</DocSecurity>
  <Lines>65</Lines>
  <Paragraphs>18</Paragraphs>
  <ScaleCrop>false</ScaleCrop>
  <Company/>
  <LinksUpToDate>false</LinksUpToDate>
  <CharactersWithSpaces>9234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15</cp:revision>
  <dcterms:created xsi:type="dcterms:W3CDTF">2021-03-30T07:22:00Z</dcterms:created>
  <dcterms:modified xsi:type="dcterms:W3CDTF">2021-04-02T10:23:00Z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